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FC2A7">
      <w:pPr>
        <w:spacing w:after="120"/>
        <w:ind w:left="1985" w:hanging="1985"/>
        <w:jc w:val="both"/>
        <w:rPr>
          <w:rFonts w:hint="eastAsia" w:ascii="Times New Roman" w:hAnsi="Times New Roman" w:cs="Times New Roman"/>
          <w:b/>
          <w:sz w:val="24"/>
          <w:szCs w:val="24"/>
          <w:lang w:val="en-US" w:eastAsia="zh-CN"/>
        </w:rPr>
      </w:pPr>
      <w:r>
        <w:rPr>
          <w:rFonts w:ascii="Arial" w:hAnsi="Arial" w:eastAsia="MS Mincho" w:cs="Times New Roman"/>
          <w:b/>
          <w:sz w:val="24"/>
          <w:szCs w:val="24"/>
          <w:lang w:val="en-US" w:eastAsia="zh-CN" w:bidi="ar-SA"/>
        </w:rPr>
        <w:t>3GPP TSG-RAN WG2 Meeting #129bis</w:t>
      </w:r>
      <w:r>
        <w:rPr>
          <w:rFonts w:ascii="Arial" w:hAnsi="Arial" w:eastAsia="MS Mincho" w:cs="Times New Roman"/>
          <w:b/>
          <w:sz w:val="24"/>
          <w:szCs w:val="24"/>
          <w:lang w:val="en-US" w:eastAsia="zh-CN" w:bidi="ar-SA"/>
        </w:rPr>
        <w:tab/>
      </w:r>
      <w:r>
        <w:rPr>
          <w:rFonts w:hint="eastAsia" w:ascii="Arial" w:hAnsi="Arial" w:eastAsia="MS Mincho" w:cs="Times New Roman"/>
          <w:b/>
          <w:sz w:val="24"/>
          <w:szCs w:val="24"/>
          <w:lang w:val="en-US" w:eastAsia="zh-CN" w:bidi="ar-SA"/>
        </w:rPr>
        <w:t xml:space="preserve">                                </w:t>
      </w:r>
      <w:r>
        <w:rPr>
          <w:rFonts w:hint="eastAsia" w:ascii="Times New Roman" w:hAnsi="Times New Roman" w:cs="Times New Roman"/>
          <w:b/>
          <w:sz w:val="24"/>
          <w:szCs w:val="24"/>
          <w:lang w:val="en-US" w:eastAsia="zh-CN"/>
        </w:rPr>
        <w:t>R2-2502060</w:t>
      </w:r>
    </w:p>
    <w:p w14:paraId="0ED5C273">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Wuhan, China, Apr. 7</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 xml:space="preserve"> – 11</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 xml:space="preserve"> , 2025</w:t>
      </w:r>
    </w:p>
    <w:p w14:paraId="06AB071E">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Remaining issues on DSR enhancements</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r>
        <w:rPr>
          <w:rFonts w:hint="default" w:ascii="Times New Roman" w:hAnsi="Times New Roman" w:cs="Times New Roman"/>
          <w:b/>
          <w:sz w:val="24"/>
          <w:szCs w:val="24"/>
          <w:lang w:val="en-US" w:eastAsia="zh-CN"/>
        </w:rPr>
        <w:t>.</w:t>
      </w:r>
      <w:r>
        <w:rPr>
          <w:rFonts w:hint="eastAsia" w:ascii="Times New Roman" w:hAnsi="Times New Roman" w:cs="Times New Roman"/>
          <w:b/>
          <w:sz w:val="24"/>
          <w:szCs w:val="24"/>
          <w:lang w:val="en-US" w:eastAsia="zh-CN"/>
        </w:rPr>
        <w:t>2</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 xml:space="preserve">According to the </w:t>
      </w:r>
      <w:r>
        <w:rPr>
          <w:rFonts w:hint="eastAsia" w:ascii="Times New Roman" w:hAnsi="Times New Roman"/>
          <w:sz w:val="20"/>
          <w:szCs w:val="20"/>
          <w:lang w:val="en-US" w:eastAsia="zh-CN"/>
        </w:rPr>
        <w:t xml:space="preserve">RAN2#129 </w:t>
      </w:r>
      <w:r>
        <w:rPr>
          <w:rFonts w:hint="default" w:ascii="Times New Roman" w:hAnsi="Times New Roman"/>
          <w:sz w:val="20"/>
          <w:szCs w:val="20"/>
          <w:lang w:val="en-US" w:eastAsia="zh-CN"/>
        </w:rPr>
        <w:t>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 xml:space="preserve">agreements on </w:t>
      </w:r>
      <w:r>
        <w:rPr>
          <w:rFonts w:hint="eastAsia" w:ascii="Times New Roman Regular" w:hAnsi="Times New Roman Regular" w:cs="Times New Roman Regular"/>
          <w:i w:val="0"/>
          <w:iCs/>
          <w:color w:val="auto"/>
          <w:sz w:val="21"/>
          <w:szCs w:val="21"/>
          <w:lang w:val="en-US" w:eastAsia="zh-CN"/>
        </w:rPr>
        <w:t>DSR</w:t>
      </w:r>
      <w:r>
        <w:rPr>
          <w:rFonts w:hint="default" w:ascii="Times New Roman Regular" w:hAnsi="Times New Roman Regular" w:cs="Times New Roman Regular"/>
          <w:i w:val="0"/>
          <w:iCs/>
          <w:color w:val="auto"/>
          <w:sz w:val="21"/>
          <w:szCs w:val="21"/>
          <w:lang w:val="en-US"/>
        </w:rPr>
        <w:t xml:space="preserve">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tbl>
      <w:tblPr>
        <w:tblStyle w:val="23"/>
        <w:tblpPr w:leftFromText="180" w:rightFromText="180" w:vertAnchor="text" w:horzAnchor="page" w:tblpX="1530" w:tblpY="2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0"/>
      </w:tblGrid>
      <w:tr w14:paraId="5F89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72" w:hRule="atLeast"/>
        </w:trPr>
        <w:tc>
          <w:tcPr>
            <w:tcW w:w="8880" w:type="dxa"/>
          </w:tcPr>
          <w:p w14:paraId="103A9B6B">
            <w:pPr>
              <w:pStyle w:val="52"/>
              <w:numPr>
                <w:ilvl w:val="0"/>
                <w:numId w:val="0"/>
              </w:numPr>
              <w:overflowPunct/>
              <w:autoSpaceDE/>
              <w:autoSpaceDN/>
              <w:adjustRightInd/>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Agreements on DSR enhancements</w:t>
            </w:r>
          </w:p>
          <w:p w14:paraId="4E426BA3">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1. One extension bit (e.g. by redefining the reserved R bit) can be used to indicate whether a further pair of remaining time and buffer size information is present for the associated LCG in the enhanced DSR MAC CE.</w:t>
            </w:r>
          </w:p>
          <w:p w14:paraId="3AB4B567">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2. FFS New DSR MAC CE will (always) be used when at least one LCG is configured with multiple thresholds.</w:t>
            </w:r>
          </w:p>
          <w:p w14:paraId="2B6D8234">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3. We do not support truncated DSR nor fallback to legacy DSR in case of limited PUSCH grant size.</w:t>
            </w:r>
          </w:p>
          <w:p w14:paraId="602FB4AC">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4. Different LCGs may be configured with different number of reporting thresholds.</w:t>
            </w:r>
          </w:p>
          <w:p w14:paraId="24456A9A">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5. If UE is configured to use R19 DSR, then any LCG with a triggering threshold shall be configured with at least one reporting threshold.</w:t>
            </w:r>
          </w:p>
          <w:p w14:paraId="5CD6790C">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6. Triggering threshold is not used as a reporting threshold (but one of reporting thresholds can be configured to the same value as triggering threshold).</w:t>
            </w:r>
          </w:p>
          <w:p w14:paraId="037DE7E8">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w:hAnsi="Times New Roman" w:eastAsia="MS Mincho" w:cs="Times New Roman"/>
                <w:b/>
                <w:sz w:val="20"/>
                <w:szCs w:val="20"/>
                <w:vertAlign w:val="baseline"/>
                <w:lang w:val="en-GB" w:eastAsia="zh-Hans" w:bidi="ar-SA"/>
              </w:rPr>
              <w:t>7. Do not support a configuration of an LCG without any triggering threshold but with DSR reporting threshold(s).</w:t>
            </w:r>
          </w:p>
        </w:tc>
      </w:tr>
    </w:tbl>
    <w:p w14:paraId="1DCCBB25">
      <w:pPr>
        <w:numPr>
          <w:ilvl w:val="0"/>
          <w:numId w:val="0"/>
        </w:numPr>
        <w:ind w:leftChars="0"/>
        <w:jc w:val="both"/>
        <w:rPr>
          <w:rFonts w:hint="default" w:ascii="Times New Roman" w:hAnsi="Times New Roman"/>
          <w:sz w:val="20"/>
          <w:szCs w:val="20"/>
          <w:lang w:val="en-US" w:eastAsia="zh-CN"/>
        </w:rPr>
      </w:pPr>
    </w:p>
    <w:p w14:paraId="4D3B5890">
      <w:pPr>
        <w:widowControl w:val="0"/>
        <w:numPr>
          <w:ilvl w:val="0"/>
          <w:numId w:val="0"/>
        </w:numPr>
        <w:bidi w:val="0"/>
        <w:jc w:val="both"/>
        <w:rPr>
          <w:rFonts w:hint="default" w:ascii="Times New Roman Regular" w:hAnsi="Times New Roman Regular" w:cs="Times New Roman Regular"/>
          <w:szCs w:val="21"/>
        </w:rPr>
      </w:pPr>
    </w:p>
    <w:p w14:paraId="05741A57">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485E42ED">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0F2D3F7F">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43D23151">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3B0DEADA">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5A56CEFB">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217DCE5D">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4A9292CA">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7BCA5CE0">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p>
    <w:p w14:paraId="772E9751">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 xml:space="preserve">In this contribution, we aim to discuss remaining issues on </w:t>
      </w:r>
      <w:r>
        <w:rPr>
          <w:rFonts w:hint="eastAsia" w:ascii="Times New Roman Regular" w:hAnsi="Times New Roman Regular" w:cs="Times New Roman Regular"/>
          <w:lang w:val="en-US" w:eastAsia="zh-CN"/>
        </w:rPr>
        <w:t xml:space="preserve">delay reporting data in </w:t>
      </w:r>
      <w:r>
        <w:rPr>
          <w:rFonts w:hint="default" w:ascii="Times New Roman Regular" w:hAnsi="Times New Roman Regular" w:cs="Times New Roman Regular"/>
          <w:lang w:val="en-US" w:eastAsia="zh-CN"/>
        </w:rPr>
        <w:t xml:space="preserve">PDCP </w:t>
      </w:r>
      <w:r>
        <w:rPr>
          <w:rFonts w:hint="eastAsia" w:ascii="Times New Roman" w:hAnsi="Times New Roman" w:cs="Times New Roman"/>
          <w:lang w:val="en-US" w:eastAsia="zh-CN"/>
        </w:rPr>
        <w:t>.</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7EDCA58C">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During the post-meeting email discussions following the RAN2#129 meeting, several issues related to </w:t>
      </w:r>
      <w:r>
        <w:rPr>
          <w:rFonts w:hint="eastAsia" w:ascii="Times New Roman Regular" w:hAnsi="Times New Roman Regular" w:cs="Times New Roman Regular"/>
          <w:lang w:val="en-US" w:eastAsia="zh-CN"/>
        </w:rPr>
        <w:t xml:space="preserve">delay reporting data in </w:t>
      </w:r>
      <w:r>
        <w:rPr>
          <w:rFonts w:hint="default" w:ascii="Times New Roman Regular" w:hAnsi="Times New Roman Regular" w:cs="Times New Roman Regular"/>
          <w:lang w:val="en-US" w:eastAsia="zh-CN"/>
        </w:rPr>
        <w:t>PDCP (associated with DSR reporting) require further deliberation:</w:t>
      </w:r>
    </w:p>
    <w:p w14:paraId="743184E9">
      <w:pPr>
        <w:bidi w:val="0"/>
        <w:rPr>
          <w:rFonts w:hint="default" w:ascii="Times New Roman Regular" w:hAnsi="Times New Roman Regular" w:cs="Times New Roman Regular"/>
          <w:lang w:val="en-US" w:eastAsia="zh-CN"/>
        </w:rPr>
      </w:pPr>
    </w:p>
    <w:p w14:paraId="66C7EF39">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 Issue 1: Whether the RAN2 agreement “non-delay-critical data ahead of delay-critical data” applies to non-delay-reporting data ahead of delay-reporting data.</w:t>
      </w:r>
    </w:p>
    <w:p w14:paraId="703DE14A">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We agree with this agreement. The rationale is that data packets, whether for </w:t>
      </w:r>
      <w:r>
        <w:rPr>
          <w:rFonts w:hint="eastAsia" w:ascii="Times New Roman Regular" w:hAnsi="Times New Roman Regular" w:cs="Times New Roman Regular"/>
          <w:lang w:val="en-US" w:eastAsia="zh-CN"/>
        </w:rPr>
        <w:t>data volume calculation</w:t>
      </w:r>
      <w:r>
        <w:rPr>
          <w:rFonts w:hint="default" w:ascii="Times New Roman Regular" w:hAnsi="Times New Roman Regular" w:cs="Times New Roman Regular"/>
          <w:lang w:val="en-US" w:eastAsia="zh-CN"/>
        </w:rPr>
        <w:t xml:space="preserve"> purposes or reporting, should follow their sequential order. Even if a SDU’</w:t>
      </w:r>
      <w:r>
        <w:rPr>
          <w:rFonts w:hint="eastAsia" w:ascii="Times New Roman Regular" w:hAnsi="Times New Roman Regular" w:cs="Times New Roman Regular"/>
          <w:lang w:val="en-US" w:eastAsia="zh-CN"/>
        </w:rPr>
        <w:t>s remaining time</w:t>
      </w:r>
      <w:r>
        <w:rPr>
          <w:rFonts w:hint="default" w:ascii="Times New Roman Regular" w:hAnsi="Times New Roman Regular" w:cs="Times New Roman Regular"/>
          <w:lang w:val="en-US" w:eastAsia="zh-CN"/>
        </w:rPr>
        <w:t xml:space="preserve"> does not meet the delay reporting threshold, as long as it is sequentially ahead, it should still be included in the statistics and reported accordingly.</w:t>
      </w:r>
    </w:p>
    <w:p w14:paraId="66E00C7F">
      <w:pPr>
        <w:bidi w:val="0"/>
        <w:rPr>
          <w:rFonts w:hint="default" w:ascii="Times New Roman Regular" w:hAnsi="Times New Roman Regular" w:cs="Times New Roman Regular"/>
          <w:lang w:val="en-US" w:eastAsia="zh-CN"/>
        </w:rPr>
      </w:pPr>
    </w:p>
    <w:p w14:paraId="39B31209">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Issue 2: Whether to use COUNT to describe the non-delay-critical data ahead of delay-critical data.</w:t>
      </w:r>
    </w:p>
    <w:p w14:paraId="5F21DB86">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We agree with this agreement. COUNT is the fundamental unit for numbering SDU</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at the PDCP layer, making it appropriate for describing non-delay-critical data ahead of delay-critical data.</w:t>
      </w:r>
    </w:p>
    <w:p w14:paraId="5F189644">
      <w:pPr>
        <w:bidi w:val="0"/>
        <w:rPr>
          <w:rFonts w:hint="default" w:ascii="Times New Roman Regular" w:hAnsi="Times New Roman Regular" w:cs="Times New Roman Regular"/>
          <w:lang w:val="en-US" w:eastAsia="zh-CN"/>
        </w:rPr>
      </w:pPr>
    </w:p>
    <w:p w14:paraId="4C656B1E">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Issue 3: Whether to use “PDU Set remaining time” to describe the shortest remaining time till discardTimer expiry among the PDCP SDUs belonging to the PDU Set. </w:t>
      </w:r>
    </w:p>
    <w:p w14:paraId="07355E79">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We think it is unnecessary to introduce the term “PDU Set remaining time.” If `SDU-SetDiscard` is configured, the entire data set is processed as a unit. When any data packet within the set has a remaining time below the DSR reporting threshold, all data within the set should be reported.  </w:t>
      </w:r>
    </w:p>
    <w:p w14:paraId="51855612">
      <w:pPr>
        <w:bidi w:val="0"/>
        <w:rPr>
          <w:rFonts w:hint="default" w:ascii="Times New Roman Regular" w:hAnsi="Times New Roman Regular" w:cs="Times New Roman Regular"/>
          <w:lang w:val="en-US" w:eastAsia="zh-CN"/>
        </w:rPr>
      </w:pPr>
    </w:p>
    <w:p w14:paraId="4A6CC8AF">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not introducing “PDU Set remaining time” in the PDCP specification, as DSR data reporting is performed at the granularity of individual SDUs.</w:t>
      </w:r>
    </w:p>
    <w:p w14:paraId="5DDE2308">
      <w:pPr>
        <w:bidi w:val="0"/>
        <w:rPr>
          <w:rFonts w:hint="default" w:ascii="Times New Roman Regular" w:hAnsi="Times New Roman Regular" w:cs="Times New Roman Regular"/>
          <w:lang w:val="en-US" w:eastAsia="zh-CN"/>
        </w:rPr>
      </w:pPr>
    </w:p>
    <w:p w14:paraId="76FCD141">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Issue 4: Whether to keep the text “The dsr-ReportingThresholds configured for the PDCP entity are ordered in ascending order” in the PDCP specification.  </w:t>
      </w:r>
    </w:p>
    <w:p w14:paraId="62A706AC">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We agree with this viewpoint. Multiple DSR reporting thresholds, whether for configuration or reporting, should be ordered in ascending order.  </w:t>
      </w:r>
    </w:p>
    <w:p w14:paraId="35C4FF2A">
      <w:pPr>
        <w:bidi w:val="0"/>
        <w:rPr>
          <w:rFonts w:hint="default" w:ascii="Times New Roman Regular" w:hAnsi="Times New Roman Regular" w:cs="Times New Roman Regular"/>
          <w:lang w:val="en-US" w:eastAsia="zh-CN"/>
        </w:rPr>
      </w:pPr>
    </w:p>
    <w:p w14:paraId="1E69E746">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retaining the text “The dsr-ReportingThresholds configured for the PDCP entity are ordered in ascending order” in the PDCP specification.</w:t>
      </w:r>
    </w:p>
    <w:p w14:paraId="4DFBA857">
      <w:pPr>
        <w:bidi w:val="0"/>
        <w:rPr>
          <w:rFonts w:hint="default" w:ascii="Times New Roman Regular" w:hAnsi="Times New Roman Regular" w:cs="Times New Roman Regular"/>
          <w:lang w:val="en-US" w:eastAsia="zh-CN"/>
        </w:rPr>
      </w:pPr>
    </w:p>
    <w:p w14:paraId="03F69662">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Issue 5: Whether to specify delay-reporting indication in the PDCP specification or leave it up to UE implementation. </w:t>
      </w:r>
    </w:p>
    <w:p w14:paraId="1762E989">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We believe it is unnecessary to specify delay-reporting indication in the PDCP specification. Delay reporting is based on the remaining time of data packets relative to the discard timer, which is handled at the PDCP layer. The relationship between delay reporting and PDCP is already clear, and there is no need for additional specification of delay-reporting indication in the PDCP specification.</w:t>
      </w:r>
    </w:p>
    <w:p w14:paraId="0B18CA6D">
      <w:pPr>
        <w:bidi w:val="0"/>
        <w:rPr>
          <w:rFonts w:hint="default" w:ascii="Times New Roman Regular" w:hAnsi="Times New Roman Regular" w:cs="Times New Roman Regular"/>
          <w:lang w:val="en-US" w:eastAsia="zh-CN"/>
        </w:rPr>
      </w:pPr>
    </w:p>
    <w:p w14:paraId="6E617250">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Issue 6: Whether to specify the update of delay-reporting indication in the PDCP specification or leave it up to UE implementation.  </w:t>
      </w:r>
    </w:p>
    <w:p w14:paraId="2A88C87B">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Similar to Issue 5, we believe it is unnecessary to specify the update of delay-reporting indication in the PDCP specification.  </w:t>
      </w:r>
    </w:p>
    <w:p w14:paraId="536506A7">
      <w:pPr>
        <w:bidi w:val="0"/>
        <w:rPr>
          <w:rFonts w:hint="default" w:ascii="Times New Roman Regular" w:hAnsi="Times New Roman Regular" w:cs="Times New Roman Regular"/>
          <w:lang w:val="en-US" w:eastAsia="zh-CN"/>
        </w:rPr>
      </w:pPr>
    </w:p>
    <w:p w14:paraId="63C85536">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We recommend not specifying delay-reporting indication or the update of delay-reporting indication in the PDCP specification.</w:t>
      </w:r>
    </w:p>
    <w:p w14:paraId="51D67DB1">
      <w:pPr>
        <w:bidi w:val="0"/>
        <w:rPr>
          <w:rFonts w:hint="default" w:ascii="Times New Roman Regular" w:hAnsi="Times New Roman Regular" w:cs="Times New Roman Regular"/>
          <w:lang w:val="en-US" w:eastAsia="zh-CN"/>
        </w:rPr>
      </w:pPr>
    </w:p>
    <w:p w14:paraId="6B2744FF">
      <w:pPr>
        <w:numPr>
          <w:ilvl w:val="0"/>
          <w:numId w:val="4"/>
        </w:numPr>
        <w:bidi w:val="0"/>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Additional Issue: Impact of PSI on DSR data volume calculation</w:t>
      </w:r>
    </w:p>
    <w:p w14:paraId="0CBEAD59">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We think the impact of PSI on DSR data volume calculation should also be considered. In Rel-18, PSI was standardized with the following description:  </w:t>
      </w:r>
    </w:p>
    <w:p w14:paraId="2FFDF1D0">
      <w:pPr>
        <w:bidi w:val="0"/>
        <w:rPr>
          <w:rFonts w:hint="default" w:ascii="Times New Roman Regular" w:hAnsi="Times New Roman Regular" w:cs="Times New Roman Regular"/>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081"/>
      </w:tblGrid>
      <w:tr w14:paraId="5C4B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6F11E4B9">
            <w:pPr>
              <w:bidi w:val="0"/>
              <w:rPr>
                <w:rFonts w:hint="default" w:ascii="Times New Roman Regular" w:hAnsi="Times New Roman Regular" w:cs="Times New Roman Regular"/>
                <w:vertAlign w:val="baseline"/>
                <w:lang w:val="en-US" w:eastAsia="zh-CN"/>
              </w:rPr>
            </w:pPr>
            <w:r>
              <w:rPr>
                <w:rFonts w:hint="default" w:ascii="Times New Roman Regular" w:hAnsi="Times New Roman Regular" w:cs="Times New Roman Regular"/>
                <w:lang w:val="en-US" w:eastAsia="zh-CN"/>
              </w:rPr>
              <w:t xml:space="preserve">- In case of congestion, for downlink, the gNB may perform PDCP SDU discarding based on PSI. For uplink, dedicated downlink signaling is used to request the UE to apply a shorter discard timer to PDCP SDUs belonging to low-importance PDU Sets in PDCP.  </w:t>
            </w:r>
          </w:p>
        </w:tc>
      </w:tr>
    </w:tbl>
    <w:p w14:paraId="5C5CF855">
      <w:pPr>
        <w:bidi w:val="0"/>
        <w:rPr>
          <w:rFonts w:hint="default" w:ascii="Times New Roman Regular" w:hAnsi="Times New Roman Regular" w:cs="Times New Roman Regular"/>
          <w:lang w:val="en-US" w:eastAsia="zh-CN"/>
        </w:rPr>
      </w:pPr>
    </w:p>
    <w:p w14:paraId="463EC2A7">
      <w:pPr>
        <w:bidi w:val="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Currently, PDCP statistics for delay report data primarily consider whether the remaining time of SDU is below the threshold configured by the network, without factoring in PSI. In congestion scenarios, PDCP SDUs belonging to low-importance PDU Sets is prioritized for discarding due to its shorter discard timer. Additionally, congestion can result from limited radio resources. In such scenarios, the data reported by the UE to the network should not only consider the urgency of remaining delay but also the importance of the data, as indicated by PSI. To ensure that the network prioritizes scheduling important data during congestion, we propose that the UE exclude PDCP SDUs belonging to low-importance PDU Sets from DSR data volume calculation.</w:t>
      </w:r>
    </w:p>
    <w:p w14:paraId="46D8FD33">
      <w:pPr>
        <w:bidi w:val="0"/>
        <w:rPr>
          <w:rFonts w:hint="default" w:ascii="Times New Roman Regular" w:hAnsi="Times New Roman Regular" w:cs="Times New Roman Regular"/>
          <w:lang w:val="en-US" w:eastAsia="zh-CN"/>
        </w:rPr>
      </w:pPr>
    </w:p>
    <w:p w14:paraId="101C818A">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To ensure the network prioritizes scheduling important data during congestion, we recommend that the UE exclude PDCP SDUs belonging to low-importance PDU Sets from DSR data volume calculation.</w:t>
      </w: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lang w:val="en-US" w:eastAsia="zh-CN"/>
        </w:rPr>
        <w:t>DSR</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253DAC62">
      <w:pPr>
        <w:numPr>
          <w:ilvl w:val="-1"/>
          <w:numId w:val="0"/>
        </w:numPr>
        <w:ind w:left="0" w:leftChars="0"/>
        <w:jc w:val="both"/>
        <w:rPr>
          <w:rFonts w:hint="default" w:ascii="Times New Roman" w:hAnsi="Times New Roman" w:cs="Times New Roman"/>
          <w:szCs w:val="21"/>
          <w:lang w:val="en-US" w:eastAsia="zh-CN"/>
        </w:rPr>
      </w:pPr>
    </w:p>
    <w:p w14:paraId="35C4A9D6">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It is suggested not introducing “PDU Set remaining time” in the PDCP specification, as DSR data reporting is performed at the granularity of individual SDUs.</w:t>
      </w:r>
    </w:p>
    <w:p w14:paraId="5B647610">
      <w:pPr>
        <w:bidi w:val="0"/>
        <w:rPr>
          <w:rFonts w:hint="default" w:ascii="Times New Roman Bold" w:hAnsi="Times New Roman Bold" w:cs="Times New Roman Bold"/>
          <w:b/>
          <w:bCs/>
          <w:lang w:val="en-US" w:eastAsia="zh-CN"/>
        </w:rPr>
      </w:pPr>
    </w:p>
    <w:p w14:paraId="5CBA4768">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It is suggested retaining the text “The dsr-ReportingThresholds configured for the PDCP entity are ordered in ascending order” in the PDCP specification.</w:t>
      </w:r>
    </w:p>
    <w:p w14:paraId="321E1748">
      <w:pPr>
        <w:bidi w:val="0"/>
        <w:rPr>
          <w:rFonts w:hint="default" w:ascii="Times New Roman Bold" w:hAnsi="Times New Roman Bold" w:cs="Times New Roman Bold"/>
          <w:b/>
          <w:bCs/>
          <w:lang w:val="en-US" w:eastAsia="zh-CN"/>
        </w:rPr>
      </w:pPr>
    </w:p>
    <w:p w14:paraId="24421E64">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We recommend not specifying delay-reporting indication or the update of delay-reporting indication in the PDCP specification.</w:t>
      </w:r>
    </w:p>
    <w:p w14:paraId="17C2838B">
      <w:pPr>
        <w:bidi w:val="0"/>
        <w:rPr>
          <w:rFonts w:hint="default" w:ascii="Times New Roman Bold" w:hAnsi="Times New Roman Bold" w:cs="Times New Roman Bold"/>
          <w:b/>
          <w:bCs/>
          <w:lang w:val="en-US" w:eastAsia="zh-CN"/>
        </w:rPr>
      </w:pPr>
    </w:p>
    <w:p w14:paraId="69D0437E">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4: To ensure the network prioritizes scheduling important data during congestion, we recommend that the UE exclude PDCP SDUs belonging to low-importance PDU Sets from DSR data volume calculation.</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1" w:name="_Toc54284462"/>
      <w:r>
        <w:rPr>
          <w:rFonts w:ascii="Times New Roman" w:hAnsi="Times New Roman"/>
        </w:rPr>
        <w:t>References</w:t>
      </w:r>
      <w:bookmarkEnd w:id="1"/>
    </w:p>
    <w:p w14:paraId="3CACD6F1">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w:t>
      </w:r>
      <w:r>
        <w:rPr>
          <w:rFonts w:hint="eastAsia" w:ascii="Times New Roman" w:hAnsi="Times New Roman"/>
          <w:sz w:val="20"/>
          <w:szCs w:val="20"/>
          <w:lang w:val="en-US" w:eastAsia="zh-CN"/>
        </w:rPr>
        <w:t>9</w:t>
      </w:r>
      <w:r>
        <w:rPr>
          <w:rFonts w:hint="default" w:ascii="Times New Roman" w:hAnsi="Times New Roman"/>
          <w:sz w:val="20"/>
          <w:szCs w:val="20"/>
          <w:lang w:val="en-US" w:eastAsia="zh-CN"/>
        </w:rPr>
        <w:t xml:space="preserve"> meeting agreements</w:t>
      </w:r>
      <w:r>
        <w:rPr>
          <w:rFonts w:hint="eastAsia" w:ascii="Times New Roman" w:hAnsi="Times New Roman" w:eastAsia="宋体" w:cs="Times New Roman"/>
          <w:kern w:val="0"/>
          <w:sz w:val="20"/>
          <w:szCs w:val="20"/>
          <w:lang w:val="en-US" w:eastAsia="zh-CN"/>
        </w:rPr>
        <w:t>.</w:t>
      </w:r>
      <w:bookmarkStart w:id="2" w:name="_GoBack"/>
      <w:bookmarkEnd w:id="2"/>
    </w:p>
    <w:p w14:paraId="16683E82">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Times New Roman Bold">
    <w:panose1 w:val="02020703060505090304"/>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D9F65"/>
    <w:multiLevelType w:val="singleLevel"/>
    <w:tmpl w:val="FFFD9F65"/>
    <w:lvl w:ilvl="0" w:tentative="0">
      <w:start w:val="1"/>
      <w:numFmt w:val="decimalEnclosedCircleChinese"/>
      <w:suff w:val="nothing"/>
      <w:lvlText w:val="%1　"/>
      <w:lvlJc w:val="left"/>
      <w:pPr>
        <w:ind w:left="0" w:firstLine="400"/>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2FDF8E57"/>
    <w:rsid w:val="31696757"/>
    <w:rsid w:val="321F68F6"/>
    <w:rsid w:val="32FF1997"/>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E98A4"/>
    <w:rsid w:val="3BDF187F"/>
    <w:rsid w:val="3C5E1386"/>
    <w:rsid w:val="3C6A376B"/>
    <w:rsid w:val="3CAD3871"/>
    <w:rsid w:val="3D4FA6A7"/>
    <w:rsid w:val="3D794C69"/>
    <w:rsid w:val="3DFD2B33"/>
    <w:rsid w:val="3DFEA3AF"/>
    <w:rsid w:val="3E4459B8"/>
    <w:rsid w:val="3E6B1C59"/>
    <w:rsid w:val="3E7F4774"/>
    <w:rsid w:val="3EFFC502"/>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3FF8EE3"/>
    <w:rsid w:val="55EE0F69"/>
    <w:rsid w:val="561B7217"/>
    <w:rsid w:val="572629E8"/>
    <w:rsid w:val="575C092A"/>
    <w:rsid w:val="57DF6C32"/>
    <w:rsid w:val="57FF0BD3"/>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CF2FF4"/>
    <w:rsid w:val="6FF7E176"/>
    <w:rsid w:val="70A04FBC"/>
    <w:rsid w:val="72041505"/>
    <w:rsid w:val="72F16DFA"/>
    <w:rsid w:val="73A25C56"/>
    <w:rsid w:val="73FE447C"/>
    <w:rsid w:val="73FF2BB4"/>
    <w:rsid w:val="740B2A1F"/>
    <w:rsid w:val="74566E86"/>
    <w:rsid w:val="74FF7320"/>
    <w:rsid w:val="75DF6A2F"/>
    <w:rsid w:val="75E11EE8"/>
    <w:rsid w:val="767FFFB6"/>
    <w:rsid w:val="772665FC"/>
    <w:rsid w:val="772B48E7"/>
    <w:rsid w:val="77366967"/>
    <w:rsid w:val="776C150F"/>
    <w:rsid w:val="777D63E4"/>
    <w:rsid w:val="777F576F"/>
    <w:rsid w:val="777FE0CF"/>
    <w:rsid w:val="77C3C807"/>
    <w:rsid w:val="77F37F57"/>
    <w:rsid w:val="77F7E429"/>
    <w:rsid w:val="77FE958D"/>
    <w:rsid w:val="77FF57C1"/>
    <w:rsid w:val="77FF6E47"/>
    <w:rsid w:val="78610694"/>
    <w:rsid w:val="788A13BF"/>
    <w:rsid w:val="78A377B2"/>
    <w:rsid w:val="78FF90C4"/>
    <w:rsid w:val="79E42D9A"/>
    <w:rsid w:val="79FF54AC"/>
    <w:rsid w:val="7ABC00E2"/>
    <w:rsid w:val="7B35744F"/>
    <w:rsid w:val="7B3F548A"/>
    <w:rsid w:val="7B503B8C"/>
    <w:rsid w:val="7B7EFC4A"/>
    <w:rsid w:val="7B7FB24B"/>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76755"/>
    <w:rsid w:val="7D7F78C3"/>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8D3FCABA"/>
    <w:rsid w:val="8FDF5E6A"/>
    <w:rsid w:val="8FEB6DDC"/>
    <w:rsid w:val="92F7F979"/>
    <w:rsid w:val="93E7555A"/>
    <w:rsid w:val="97CDEA88"/>
    <w:rsid w:val="97FFB322"/>
    <w:rsid w:val="9BBF0AEE"/>
    <w:rsid w:val="9BDFC227"/>
    <w:rsid w:val="9EEB1666"/>
    <w:rsid w:val="A36F1787"/>
    <w:rsid w:val="A7D183B8"/>
    <w:rsid w:val="A7F32433"/>
    <w:rsid w:val="AA506222"/>
    <w:rsid w:val="AEBE8991"/>
    <w:rsid w:val="AEFE4179"/>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580821"/>
    <w:rsid w:val="BF5C85D2"/>
    <w:rsid w:val="BF77465D"/>
    <w:rsid w:val="BFDC8D70"/>
    <w:rsid w:val="BFEEBC2F"/>
    <w:rsid w:val="C4CF92FB"/>
    <w:rsid w:val="C5F6EFD2"/>
    <w:rsid w:val="C78F30F2"/>
    <w:rsid w:val="C7FD88C7"/>
    <w:rsid w:val="CBFE475B"/>
    <w:rsid w:val="CEDD30F2"/>
    <w:rsid w:val="D4BFFFC3"/>
    <w:rsid w:val="D6DFAE4B"/>
    <w:rsid w:val="D7DFAEDF"/>
    <w:rsid w:val="D7F768CD"/>
    <w:rsid w:val="D87A3C5C"/>
    <w:rsid w:val="DA1F8A03"/>
    <w:rsid w:val="DD7E827F"/>
    <w:rsid w:val="DDFDFB41"/>
    <w:rsid w:val="DFD360C6"/>
    <w:rsid w:val="DFDD8A97"/>
    <w:rsid w:val="E3FFE2B0"/>
    <w:rsid w:val="E4EF32E2"/>
    <w:rsid w:val="E5A30684"/>
    <w:rsid w:val="E5FC7EC9"/>
    <w:rsid w:val="E6FFEDCF"/>
    <w:rsid w:val="E797C820"/>
    <w:rsid w:val="E7BC645C"/>
    <w:rsid w:val="E7D989A4"/>
    <w:rsid w:val="E9FAE5A0"/>
    <w:rsid w:val="EAB96328"/>
    <w:rsid w:val="EACF7266"/>
    <w:rsid w:val="EB7E3CA1"/>
    <w:rsid w:val="EBBE0548"/>
    <w:rsid w:val="EBFA594B"/>
    <w:rsid w:val="EBFF6676"/>
    <w:rsid w:val="EDBF2ACF"/>
    <w:rsid w:val="EEB97187"/>
    <w:rsid w:val="EEF7184B"/>
    <w:rsid w:val="EFD7173A"/>
    <w:rsid w:val="EFDE4DC1"/>
    <w:rsid w:val="EFFFAF70"/>
    <w:rsid w:val="F1F7417E"/>
    <w:rsid w:val="F2DF9A67"/>
    <w:rsid w:val="F3BF11AE"/>
    <w:rsid w:val="F5ED68FD"/>
    <w:rsid w:val="F6FF99DE"/>
    <w:rsid w:val="F73F19B2"/>
    <w:rsid w:val="F772A964"/>
    <w:rsid w:val="F77E9978"/>
    <w:rsid w:val="F783F05E"/>
    <w:rsid w:val="F7BC8745"/>
    <w:rsid w:val="F7C38F43"/>
    <w:rsid w:val="F7DB5548"/>
    <w:rsid w:val="F7F73391"/>
    <w:rsid w:val="F7FBA641"/>
    <w:rsid w:val="F9727BE8"/>
    <w:rsid w:val="F9B60C06"/>
    <w:rsid w:val="F9F608DC"/>
    <w:rsid w:val="FB0DDA02"/>
    <w:rsid w:val="FB2F790E"/>
    <w:rsid w:val="FBBFB79D"/>
    <w:rsid w:val="FBBFFAFF"/>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3B4AEB"/>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5"/>
    <w:link w:val="30"/>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7">
    <w:name w:val="heading 4"/>
    <w:basedOn w:val="4"/>
    <w:next w:val="5"/>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spacing w:before="0"/>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List 2"/>
    <w:basedOn w:val="16"/>
    <w:autoRedefine/>
    <w:qFormat/>
    <w:uiPriority w:val="0"/>
    <w:pPr>
      <w:ind w:left="851"/>
    </w:pPr>
  </w:style>
  <w:style w:type="paragraph" w:styleId="16">
    <w:name w:val="List"/>
    <w:basedOn w:val="1"/>
    <w:autoRedefine/>
    <w:qFormat/>
    <w:uiPriority w:val="0"/>
    <w:pPr>
      <w:ind w:left="568" w:hanging="284"/>
    </w:p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5"/>
    <w:autoRedefine/>
    <w:unhideWhenUsed/>
    <w:qFormat/>
    <w:uiPriority w:val="99"/>
    <w:pPr>
      <w:tabs>
        <w:tab w:val="center" w:pos="4153"/>
        <w:tab w:val="right" w:pos="8306"/>
      </w:tabs>
      <w:snapToGrid w:val="0"/>
      <w:jc w:val="left"/>
    </w:pPr>
    <w:rPr>
      <w:sz w:val="18"/>
      <w:szCs w:val="18"/>
    </w:rPr>
  </w:style>
  <w:style w:type="paragraph" w:styleId="19">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6"/>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4"/>
    <w:link w:val="19"/>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8"/>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7"/>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5"/>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5</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2022-03-20T02:40:00Z</dcterms:created>
  <dc:creator>tcl</dc:creator>
  <cp:lastModifiedBy>TCL</cp:lastModifiedBy>
  <dcterms:modified xsi:type="dcterms:W3CDTF">2025-03-27T10:44:36Z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191E39E2ECC034F594BBE467FBB5E9A9_43</vt:lpwstr>
  </property>
</Properties>
</file>